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C6" w:rsidRPr="00930FC6" w:rsidRDefault="00930FC6" w:rsidP="00930F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</w:pPr>
      <w:r w:rsidRPr="00930FC6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  <w:t>О рекомендациях, как выбрать школьный рюкзак</w:t>
      </w:r>
    </w:p>
    <w:p w:rsidR="00930FC6" w:rsidRPr="00930FC6" w:rsidRDefault="00930FC6" w:rsidP="00930F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В преддверии нового учебного года </w:t>
      </w:r>
      <w:proofErr w:type="spellStart"/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Роспотребнадзор</w:t>
      </w:r>
      <w:proofErr w:type="spellEnd"/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напоминает о требованиях безопасности, предъявляемых к учебным изданиям, ученическим портфелям и ранцам для детей и подростков. 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ТР</w:t>
      </w:r>
      <w:proofErr w:type="gramEnd"/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Маркировка ученических ранцев и портфелей и рюкзаков должна содержать информацию о возрасте пользователя.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Вес портфелей, школьных ранцев и аналогичных изделий без учебников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формоустойчивой</w:t>
      </w:r>
      <w:proofErr w:type="spellEnd"/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Требования, предъявляемые к размерам ранцев для обучающихся начальных классов, следующие: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- длина (высота) – 300 – 360 мм,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- высота передней стенки – 220 – 260 мм,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- ширина – 60 – 100 мм,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- длина плечевого ремня – не менее 600 – 700 мм,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- ширина плечевого ремня в верхней части (на протяжении 400 - 450 мм) – не менее 35 – 40 мм.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Допускается увеличение размеров не более чем на 30 мм.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 вес ежедневного комплекта учебников и письменных принадлежностей не должен превышать: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для учащихся 1 - 2-х классов - не более 1,5 кг;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3 - 4-х классов - не более 2 кг;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5 - 6-х классов - не более 2,5 кг;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7 - 8-х классов - не более 3,5 кг;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9 - 11-х классов - не более 4,0 кг.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930FC6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Кроме того,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простым в чистке и уходе, чтобы при необходимости его можно было легко помыть. </w:t>
      </w:r>
    </w:p>
    <w:p w:rsidR="00930FC6" w:rsidRPr="00930FC6" w:rsidRDefault="00930FC6" w:rsidP="00930FC6">
      <w:pPr>
        <w:shd w:val="clear" w:color="auto" w:fill="F8F8F8"/>
        <w:spacing w:after="12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7"/>
          <w:szCs w:val="17"/>
          <w:lang w:eastAsia="ru-RU"/>
        </w:rPr>
        <w:lastRenderedPageBreak/>
        <w:drawing>
          <wp:inline distT="0" distB="0" distL="0" distR="0">
            <wp:extent cx="5322570" cy="4671060"/>
            <wp:effectExtent l="19050" t="0" r="0" b="0"/>
            <wp:docPr id="1" name="Рисунок 1" descr="https://www.rospotrebnadzor.ru/files/news/1980%D1%851000_Rykzak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1980%D1%851000_Rykzak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6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E6" w:rsidRPr="00930FC6" w:rsidRDefault="00940FE6">
      <w:pPr>
        <w:rPr>
          <w:b/>
        </w:rPr>
      </w:pPr>
    </w:p>
    <w:sectPr w:rsidR="00940FE6" w:rsidRPr="00930FC6" w:rsidSect="0094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30FC6"/>
    <w:rsid w:val="00930FC6"/>
    <w:rsid w:val="009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6"/>
  </w:style>
  <w:style w:type="paragraph" w:styleId="1">
    <w:name w:val="heading 1"/>
    <w:basedOn w:val="a"/>
    <w:link w:val="10"/>
    <w:uiPriority w:val="9"/>
    <w:qFormat/>
    <w:rsid w:val="0093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2021-08-24T06:13:00Z</dcterms:created>
  <dcterms:modified xsi:type="dcterms:W3CDTF">2021-08-24T06:14:00Z</dcterms:modified>
</cp:coreProperties>
</file>