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F5292" w14:textId="3EFC5CE1" w:rsidR="00D047CC" w:rsidRPr="00DF73B8" w:rsidRDefault="00C06BFC" w:rsidP="008E3DF0">
      <w:pPr>
        <w:shd w:val="clear" w:color="auto" w:fill="FFFFFF"/>
        <w:rPr>
          <w:rStyle w:val="b"/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  <w:r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8"/>
          <w:szCs w:val="28"/>
        </w:rPr>
        <w:t>С 1 ноября закон обязал уведомлять собственников о попытках электронных сделок с их недвижимостью</w:t>
      </w:r>
    </w:p>
    <w:p w14:paraId="7283ED78" w14:textId="77777777" w:rsidR="00C06BFC" w:rsidRPr="00DF73B8" w:rsidRDefault="00C06BF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/>
          <w:bCs/>
          <w:color w:val="000000" w:themeColor="text1"/>
          <w:sz w:val="28"/>
          <w:szCs w:val="28"/>
        </w:rPr>
      </w:pPr>
    </w:p>
    <w:p w14:paraId="6FF63051" w14:textId="3D1C1BE1" w:rsidR="008132EA" w:rsidRPr="00DF73B8" w:rsidRDefault="00102873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В</w:t>
      </w:r>
      <w:bookmarkStart w:id="0" w:name="_GoBack"/>
      <w:bookmarkEnd w:id="0"/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России вступ</w:t>
      </w:r>
      <w:r w:rsidR="00414EC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ило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в силу </w:t>
      </w:r>
      <w:hyperlink r:id="rId5" w:anchor="dst100019" w:history="1">
        <w:r w:rsidR="008132EA" w:rsidRPr="00DF73B8">
          <w:rPr>
            <w:rStyle w:val="a3"/>
            <w:rFonts w:asciiTheme="minorHAnsi" w:hAnsiTheme="minorHAnsi" w:cs="Times New Roman"/>
            <w:b/>
            <w:bCs/>
            <w:color w:val="000000" w:themeColor="text1"/>
            <w:sz w:val="24"/>
            <w:szCs w:val="24"/>
          </w:rPr>
          <w:t>правило</w:t>
        </w:r>
      </w:hyperlink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уведомления владельцев недвижимости, сведения о которой содержатся в ЕГРН, о поступлении</w:t>
      </w:r>
      <w:r w:rsidR="00165CE6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заверенных электронной подписью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документов</w:t>
      </w:r>
      <w:r w:rsidR="00165CE6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для отчуждения 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права собственности</w:t>
      </w:r>
      <w:r w:rsidR="00165CE6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на принадлежащее им недвижимое имущество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. </w:t>
      </w:r>
      <w:r w:rsidR="00C06B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Эксперты Кадас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тровой палаты рассказал</w:t>
      </w:r>
      <w:r w:rsidR="00C06B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и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, как последние новеллы закона о регистрации помогут защитить </w:t>
      </w:r>
      <w:r w:rsidR="00C06B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имущественные </w:t>
      </w:r>
      <w:r w:rsidR="00147C07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интересы</w:t>
      </w:r>
      <w:r w:rsidR="00C06B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гр</w:t>
      </w:r>
      <w:r w:rsidR="008132EA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аждан.  </w:t>
      </w:r>
    </w:p>
    <w:p w14:paraId="495E5E0D" w14:textId="77777777" w:rsidR="00D047CC" w:rsidRPr="00DF73B8" w:rsidRDefault="00D047C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</w:p>
    <w:p w14:paraId="7745CD05" w14:textId="221301B3" w:rsidR="00FF4713" w:rsidRPr="00DF73B8" w:rsidRDefault="007E2BB2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С</w:t>
      </w:r>
      <w:r w:rsidR="00147C0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1 ноября 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владельце</w:t>
      </w:r>
      <w:r w:rsidR="00FF471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в недвижимости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станут уведомлять о</w:t>
      </w:r>
      <w:r w:rsidR="008F0984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поступлении </w:t>
      </w:r>
      <w:r w:rsidR="0057402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в </w:t>
      </w:r>
      <w:proofErr w:type="spellStart"/>
      <w:r w:rsidR="00CB34BD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Росреестр</w:t>
      </w:r>
      <w:proofErr w:type="spellEnd"/>
      <w:r w:rsidR="00CB34BD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любых док</w:t>
      </w:r>
      <w:r w:rsidR="008F0984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ументов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, заверенных электронной подписью,</w:t>
      </w:r>
      <w:r w:rsidR="00021CF5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для регистрации</w:t>
      </w:r>
      <w:r w:rsidR="009E66ED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перехода или п</w:t>
      </w:r>
      <w:r w:rsidR="00FF471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рекращения права собственности. </w:t>
      </w:r>
      <w:r w:rsidR="000A325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Благодаря этому</w:t>
      </w:r>
      <w:r w:rsidR="00520BD5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законные хозяева недвижимости</w:t>
      </w:r>
      <w:r w:rsidR="000A325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смо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гут</w:t>
      </w:r>
      <w:r w:rsidR="008F0984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520BD5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своевременно </w:t>
      </w:r>
      <w:r w:rsidR="00715DA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выявить попытки 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противоправного </w:t>
      </w:r>
      <w:r w:rsidR="0005608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присвоения </w:t>
      </w:r>
      <w:r w:rsidR="00061F7B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принадлежащего </w:t>
      </w:r>
      <w:r w:rsidR="00595798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им</w:t>
      </w:r>
      <w:r w:rsidR="0005608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имущества</w:t>
      </w:r>
      <w:r w:rsidR="007B3BA0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.</w:t>
      </w:r>
      <w:r w:rsidR="00D96520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DF589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Уведомления будут направляться на 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содержащиеся в ЕГРН </w:t>
      </w:r>
      <w:r w:rsidR="00DF589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электронные адреса, предоставленные гражданами для обратной связи.</w:t>
      </w:r>
      <w:r w:rsidR="000A325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</w:p>
    <w:p w14:paraId="23DE345C" w14:textId="77777777" w:rsidR="00D047CC" w:rsidRPr="00DF73B8" w:rsidRDefault="00D047C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</w:pPr>
    </w:p>
    <w:p w14:paraId="4BD72995" w14:textId="6E0B2396" w:rsidR="00967CF5" w:rsidRPr="00DF73B8" w:rsidRDefault="009E3083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«Запрет на заключение электронных сделок без </w:t>
      </w:r>
      <w:r w:rsidR="002F731C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специальной отметки в ЕГРН</w:t>
      </w: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 позволяет автоматически отклонить любые электронные документы на отчуждение права</w:t>
      </w:r>
      <w:r w:rsidR="002F731C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, </w:t>
      </w: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даже </w:t>
      </w:r>
      <w:r w:rsidR="002F731C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если документы </w:t>
      </w:r>
      <w:r w:rsidR="005365E8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подал</w:t>
      </w:r>
      <w:r w:rsidR="00FF4713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о доверенное лицо</w:t>
      </w: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 владел</w:t>
      </w:r>
      <w:r w:rsidR="00FF4713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ь</w:t>
      </w:r>
      <w:r w:rsidR="005365E8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ц</w:t>
      </w:r>
      <w:r w:rsidR="00FF4713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а</w:t>
      </w:r>
      <w:r w:rsidR="002F731C"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 xml:space="preserve"> недвижимости»</w:t>
      </w: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,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D9182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– </w:t>
      </w:r>
      <w:r w:rsidR="00C3508A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поясняет</w:t>
      </w:r>
      <w:r w:rsidR="00FF471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FF4713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замглавы </w:t>
      </w:r>
      <w:r w:rsidR="008C23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ф</w:t>
      </w:r>
      <w:r w:rsidR="00FF4713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едеральной </w:t>
      </w:r>
      <w:r w:rsidR="008C23FC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К</w:t>
      </w:r>
      <w:r w:rsidR="00FF4713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адастровой палаты</w:t>
      </w:r>
      <w:r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 xml:space="preserve"> </w:t>
      </w:r>
      <w:r w:rsidR="00F36586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Павел Чащин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.</w:t>
      </w:r>
      <w:r w:rsidR="0088086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А 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введение </w:t>
      </w:r>
      <w:r w:rsidR="0088086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уведомительно</w:t>
      </w:r>
      <w:r w:rsidR="00131F5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й систем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ы поможет сообщить</w:t>
      </w:r>
      <w:r w:rsidR="0088086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собственник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у в оперативные сроки </w:t>
      </w:r>
      <w:r w:rsidR="0088086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о поступлении таких документов</w:t>
      </w:r>
      <w:r w:rsidR="00FF4713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на проведение сделок дистанционно. </w:t>
      </w:r>
    </w:p>
    <w:p w14:paraId="1E8B72E2" w14:textId="77777777" w:rsidR="00D047CC" w:rsidRPr="00DF73B8" w:rsidRDefault="00D047C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</w:p>
    <w:p w14:paraId="299553F2" w14:textId="7724E02F" w:rsidR="00793D6C" w:rsidRPr="00DF73B8" w:rsidRDefault="00573C1D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Однако</w:t>
      </w:r>
      <w:r w:rsidR="007E2BB2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закон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предусмотрел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и 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ряд 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исключений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, когда для 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совершения о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пераций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с недвижимостью в электронном виде не требуется специальная отметка в ЕГРН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. Это, если электронные сделки 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проводятся с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участием нотариусов и органов власти, которые взаимодействуют с </w:t>
      </w:r>
      <w:proofErr w:type="spellStart"/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Росреестром</w:t>
      </w:r>
      <w:proofErr w:type="spellEnd"/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147C0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на основе 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электронно</w:t>
      </w:r>
      <w:r w:rsidR="00147C0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го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документооборот</w:t>
      </w:r>
      <w:r w:rsidR="00147C0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а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; если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электронный пакет документов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D01206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подает в орган регистрации прав кредитная организация</w:t>
      </w:r>
      <w:r w:rsidR="0038006D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; 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если сертификат электронной подписи выдан Удостоверяющим центром Кадастровой палаты.</w:t>
      </w:r>
    </w:p>
    <w:p w14:paraId="4A299C1A" w14:textId="77777777" w:rsidR="00793D6C" w:rsidRPr="00DF73B8" w:rsidRDefault="00793D6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</w:p>
    <w:p w14:paraId="04F46364" w14:textId="403D8C9A" w:rsidR="007E2BB2" w:rsidRPr="00DF73B8" w:rsidRDefault="0038006D" w:rsidP="008E3DF0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DF73B8">
        <w:rPr>
          <w:rFonts w:asciiTheme="minorHAnsi" w:hAnsiTheme="minorHAnsi"/>
          <w:color w:val="000000" w:themeColor="text1"/>
          <w:sz w:val="24"/>
          <w:szCs w:val="24"/>
        </w:rPr>
        <w:t xml:space="preserve">Правообладателям недвижимости важно понимать, что электронную подпись </w:t>
      </w:r>
      <w:r w:rsidR="00793D6C" w:rsidRPr="00DF73B8">
        <w:rPr>
          <w:rFonts w:asciiTheme="minorHAnsi" w:hAnsiTheme="minorHAnsi"/>
          <w:color w:val="000000" w:themeColor="text1"/>
          <w:sz w:val="24"/>
          <w:szCs w:val="24"/>
        </w:rPr>
        <w:t xml:space="preserve">нельзя подделать </w:t>
      </w:r>
      <w:r w:rsidRPr="00DF73B8">
        <w:rPr>
          <w:rFonts w:asciiTheme="minorHAnsi" w:hAnsiTheme="minorHAnsi"/>
          <w:color w:val="000000" w:themeColor="text1"/>
          <w:sz w:val="24"/>
          <w:szCs w:val="24"/>
        </w:rPr>
        <w:t>технически</w:t>
      </w:r>
      <w:r w:rsidR="00793D6C" w:rsidRPr="00DF73B8">
        <w:rPr>
          <w:rFonts w:asciiTheme="minorHAnsi" w:hAnsiTheme="minorHAnsi"/>
          <w:color w:val="000000" w:themeColor="text1"/>
          <w:sz w:val="24"/>
          <w:szCs w:val="24"/>
        </w:rPr>
        <w:t xml:space="preserve">, но можно завладеть средствами, которые позволят подписать электронный документ от имени конкретного человека. Такое </w:t>
      </w:r>
      <w:r w:rsidRPr="00DF73B8">
        <w:rPr>
          <w:rFonts w:asciiTheme="minorHAnsi" w:hAnsiTheme="minorHAnsi"/>
          <w:color w:val="000000" w:themeColor="text1"/>
          <w:sz w:val="24"/>
          <w:szCs w:val="24"/>
        </w:rPr>
        <w:t>происходит только в случае</w:t>
      </w:r>
      <w:r w:rsidR="00CB34BD" w:rsidRPr="00DF73B8">
        <w:rPr>
          <w:rFonts w:asciiTheme="minorHAnsi" w:hAnsiTheme="minorHAnsi"/>
          <w:color w:val="000000" w:themeColor="text1"/>
          <w:sz w:val="24"/>
          <w:szCs w:val="24"/>
        </w:rPr>
        <w:t xml:space="preserve"> недобросовестности поставщика услуг по выдаче серти</w:t>
      </w:r>
      <w:r w:rsidR="00793D6C" w:rsidRPr="00DF73B8">
        <w:rPr>
          <w:rFonts w:asciiTheme="minorHAnsi" w:hAnsiTheme="minorHAnsi"/>
          <w:color w:val="000000" w:themeColor="text1"/>
          <w:sz w:val="24"/>
          <w:szCs w:val="24"/>
        </w:rPr>
        <w:t>фикат</w:t>
      </w:r>
      <w:r w:rsidR="00CB34BD" w:rsidRPr="00DF73B8">
        <w:rPr>
          <w:rFonts w:asciiTheme="minorHAnsi" w:hAnsiTheme="minorHAnsi"/>
          <w:color w:val="000000" w:themeColor="text1"/>
          <w:sz w:val="24"/>
          <w:szCs w:val="24"/>
        </w:rPr>
        <w:t>ов</w:t>
      </w:r>
      <w:r w:rsidR="00793D6C" w:rsidRPr="00DF73B8">
        <w:rPr>
          <w:rFonts w:asciiTheme="minorHAnsi" w:hAnsiTheme="minorHAnsi"/>
          <w:color w:val="000000" w:themeColor="text1"/>
          <w:sz w:val="24"/>
          <w:szCs w:val="24"/>
        </w:rPr>
        <w:t xml:space="preserve"> электронной подписи. </w:t>
      </w:r>
    </w:p>
    <w:p w14:paraId="51A76EDF" w14:textId="77777777" w:rsidR="003724A1" w:rsidRPr="00DF73B8" w:rsidRDefault="003724A1" w:rsidP="008E3DF0">
      <w:pPr>
        <w:shd w:val="clear" w:color="auto" w:fill="FFFFFF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6C79A2A1" w14:textId="36EC3EBB" w:rsidR="00D01206" w:rsidRPr="00DF73B8" w:rsidRDefault="007E2BB2" w:rsidP="008E3DF0">
      <w:pPr>
        <w:shd w:val="clear" w:color="auto" w:fill="FFFFFF"/>
        <w:jc w:val="both"/>
        <w:rPr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DF73B8">
        <w:rPr>
          <w:rFonts w:asciiTheme="minorHAnsi" w:hAnsiTheme="minorHAnsi"/>
          <w:color w:val="000000" w:themeColor="text1"/>
          <w:sz w:val="24"/>
          <w:szCs w:val="24"/>
        </w:rPr>
        <w:t>«</w:t>
      </w:r>
      <w:r w:rsidR="0038006D" w:rsidRPr="00DF73B8">
        <w:rPr>
          <w:rFonts w:asciiTheme="minorHAnsi" w:hAnsiTheme="minorHAnsi"/>
          <w:i/>
          <w:color w:val="000000" w:themeColor="text1"/>
          <w:sz w:val="24"/>
          <w:szCs w:val="24"/>
        </w:rPr>
        <w:t xml:space="preserve">В </w:t>
      </w:r>
      <w:r w:rsidR="00CB34BD" w:rsidRPr="00DF73B8">
        <w:rPr>
          <w:rFonts w:asciiTheme="minorHAnsi" w:hAnsiTheme="minorHAnsi"/>
          <w:i/>
          <w:color w:val="000000" w:themeColor="text1"/>
          <w:sz w:val="24"/>
          <w:szCs w:val="24"/>
        </w:rPr>
        <w:t>Удостоверяющем цен</w:t>
      </w:r>
      <w:r w:rsidR="0038006D" w:rsidRPr="00DF73B8">
        <w:rPr>
          <w:rFonts w:asciiTheme="minorHAnsi" w:hAnsiTheme="minorHAnsi"/>
          <w:i/>
          <w:color w:val="000000" w:themeColor="text1"/>
          <w:sz w:val="24"/>
          <w:szCs w:val="24"/>
        </w:rPr>
        <w:t xml:space="preserve">тре Кадастровой палаты </w:t>
      </w:r>
      <w:r w:rsidR="00CB34BD" w:rsidRPr="00DF73B8">
        <w:rPr>
          <w:rFonts w:asciiTheme="minorHAnsi" w:hAnsiTheme="minorHAnsi"/>
          <w:i/>
          <w:color w:val="000000" w:themeColor="text1"/>
          <w:sz w:val="24"/>
          <w:szCs w:val="24"/>
        </w:rPr>
        <w:t>подобное невозможно</w:t>
      </w:r>
      <w:r w:rsidR="0038006D" w:rsidRPr="00DF73B8">
        <w:rPr>
          <w:rFonts w:asciiTheme="minorHAnsi" w:hAnsiTheme="minorHAnsi"/>
          <w:i/>
          <w:color w:val="000000" w:themeColor="text1"/>
          <w:sz w:val="24"/>
          <w:szCs w:val="24"/>
        </w:rPr>
        <w:t>, поскольку п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роцедура идентификации личности перед созданием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сертификата электронной подписи проводится только при личном присутствии заявителя и 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обязательном 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пред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о</w:t>
      </w:r>
      <w:r w:rsidR="00E92B2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ставлении 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подлинного экземпляра</w:t>
      </w:r>
      <w:r w:rsidR="00793D6C" w:rsidRPr="00DF73B8">
        <w:rPr>
          <w:rFonts w:asciiTheme="minorHAnsi" w:hAnsiTheme="minorHAnsi" w:cs="Times New Roman"/>
          <w:b/>
          <w:i/>
          <w:color w:val="000000" w:themeColor="text1"/>
          <w:sz w:val="24"/>
          <w:szCs w:val="24"/>
        </w:rPr>
        <w:t xml:space="preserve"> 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документа, удостоверяющего</w:t>
      </w:r>
      <w:r w:rsidR="00E92B2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его</w:t>
      </w:r>
      <w:r w:rsidR="00793D6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личность</w:t>
      </w:r>
      <w:r w:rsidR="00147C07"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>,</w:t>
      </w:r>
      <w:r w:rsidR="00D91827"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  <w:r w:rsidR="00D9182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– </w:t>
      </w:r>
      <w:r w:rsidR="00147C07"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отмечает </w:t>
      </w:r>
      <w:r w:rsidR="00147C07" w:rsidRPr="00DF73B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заместитель директора Кадастровой палаты по Новгородской области Сергей Денис</w:t>
      </w:r>
      <w:r w:rsidR="00422799" w:rsidRPr="00DF73B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>.</w:t>
      </w:r>
      <w:r w:rsidR="00E92B2C" w:rsidRPr="00DF73B8">
        <w:rPr>
          <w:rFonts w:asciiTheme="minorHAnsi" w:hAnsiTheme="minorHAnsi" w:cs="Times New Roman"/>
          <w:b/>
          <w:color w:val="000000" w:themeColor="text1"/>
          <w:sz w:val="24"/>
          <w:szCs w:val="24"/>
        </w:rPr>
        <w:t xml:space="preserve"> </w:t>
      </w:r>
      <w:r w:rsidR="00D9182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–</w:t>
      </w:r>
      <w:r w:rsidR="00E92B2C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Столь</w:t>
      </w:r>
      <w:r w:rsidR="00E92B2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эффективные меры</w:t>
      </w:r>
      <w:r w:rsidR="00E92B2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D91827"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– 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надёжные гарантии </w:t>
      </w:r>
      <w:r w:rsidR="00E92B2C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защиты прав</w:t>
      </w:r>
      <w:r w:rsidR="009D35BE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граждан и одновременно 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качества </w:t>
      </w:r>
      <w:r w:rsidR="00D9182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выдаваемой в нашем ведомстве </w:t>
      </w:r>
      <w:r w:rsidR="0038006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э</w:t>
      </w:r>
      <w:r w:rsidR="00CB34BD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лектронной подписи</w:t>
      </w:r>
      <w:r w:rsidR="00D9182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. 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К тому же она универсальна, ведь может быть использован</w:t>
      </w:r>
      <w:r w:rsidR="00D9182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а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не только для проведения операций с недвижимостью, но и для получения различных </w:t>
      </w:r>
      <w:proofErr w:type="spellStart"/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госуслуг</w:t>
      </w:r>
      <w:proofErr w:type="spellEnd"/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в электронном виде. Все эти преимущества влияют на </w:t>
      </w:r>
      <w:r w:rsidR="003962D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показатели 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потребительского 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спрос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а, который держится в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Новгородской области на стабильно высоком</w:t>
      </w:r>
      <w:r w:rsidR="009D35BE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уровне. 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Только за 9 месяцев этого го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да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Удостоверяющим центром Кадастровой палаты выдано 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нашим землякам </w:t>
      </w:r>
      <w:r w:rsidR="003962D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свыше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 xml:space="preserve"> </w:t>
      </w:r>
      <w:r w:rsidR="003962D3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20</w:t>
      </w:r>
      <w:r w:rsidR="00865070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0 сертификатов э</w:t>
      </w:r>
      <w:r w:rsidR="00147C07" w:rsidRPr="00DF73B8">
        <w:rPr>
          <w:rFonts w:asciiTheme="minorHAnsi" w:hAnsiTheme="minorHAnsi" w:cs="Times New Roman"/>
          <w:i/>
          <w:color w:val="000000" w:themeColor="text1"/>
          <w:sz w:val="24"/>
          <w:szCs w:val="24"/>
        </w:rPr>
        <w:t>лектронной подписи</w:t>
      </w:r>
      <w:r w:rsidR="00422799"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>»</w:t>
      </w:r>
      <w:r w:rsidR="00D91827"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>.</w:t>
      </w:r>
    </w:p>
    <w:p w14:paraId="0FB700C2" w14:textId="77777777" w:rsidR="00D047CC" w:rsidRPr="00DF73B8" w:rsidRDefault="00D047CC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</w:pPr>
    </w:p>
    <w:p w14:paraId="3EEDB59D" w14:textId="1C0162AA" w:rsidR="007E2BB2" w:rsidRPr="00DF73B8" w:rsidRDefault="007E2BB2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</w:pP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Напомним, что этим летом, 13 августа, закон ужесточил проведение операций с недвижимостью с использованием электронной подписи. Принятие поправок стало ответной реакцией на выявление в </w:t>
      </w:r>
      <w:proofErr w:type="spellStart"/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цифросфере</w:t>
      </w:r>
      <w:proofErr w:type="spellEnd"/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рынка недвижимости нескольких фактов 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lastRenderedPageBreak/>
        <w:t xml:space="preserve">мошенничества. </w:t>
      </w:r>
      <w:r w:rsidRPr="00DF73B8">
        <w:rPr>
          <w:rStyle w:val="b"/>
          <w:rFonts w:asciiTheme="minorHAnsi" w:hAnsiTheme="minorHAnsi" w:cs="Times New Roman"/>
          <w:bCs/>
          <w:i/>
          <w:color w:val="000000" w:themeColor="text1"/>
          <w:sz w:val="24"/>
          <w:szCs w:val="24"/>
        </w:rPr>
        <w:t>«Информационная безопасность – обязательное условие успешного развития цифрового общества.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граждан»,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 – говорит </w:t>
      </w:r>
      <w:r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замглавы федеральной Кадастровой палаты Павел Чащин</w:t>
      </w:r>
      <w:r w:rsidR="00CB34BD" w:rsidRPr="00DF73B8">
        <w:rPr>
          <w:rStyle w:val="b"/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.</w:t>
      </w:r>
    </w:p>
    <w:p w14:paraId="405D1AC2" w14:textId="77777777" w:rsidR="007E2BB2" w:rsidRPr="00DF73B8" w:rsidRDefault="007E2BB2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</w:p>
    <w:p w14:paraId="4ED84C55" w14:textId="77777777" w:rsidR="007E2BB2" w:rsidRPr="00DF73B8" w:rsidRDefault="007E2BB2" w:rsidP="008E3DF0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</w:pP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Теперь для совершения дистанционных сделок собственник должен ранее выразить свое письменное согласие на их проведение, предоставив в бумажном формате заявление</w:t>
      </w:r>
      <w:r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о возможности проведения регистрационных действий на основании электронных документов, заверенных электронной подписью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>. В</w:t>
      </w:r>
      <w:r w:rsidRPr="00DF73B8"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срок, не превышающий пяти рабочих дней, запись об этом вносится </w:t>
      </w:r>
      <w:r w:rsidRPr="00DF73B8">
        <w:rPr>
          <w:rStyle w:val="b"/>
          <w:rFonts w:asciiTheme="minorHAnsi" w:hAnsiTheme="minorHAnsi" w:cs="Times New Roman"/>
          <w:bCs/>
          <w:color w:val="000000" w:themeColor="text1"/>
          <w:sz w:val="24"/>
          <w:szCs w:val="24"/>
        </w:rPr>
        <w:t xml:space="preserve">в Единый реестр недвижимости. Погасить данную отметку в ЕГРН можно также с помощью бумажного заявления, поданного через МФЦ или в виде почтового отправления. </w:t>
      </w:r>
    </w:p>
    <w:p w14:paraId="7AA4DD07" w14:textId="77777777" w:rsidR="00D047CC" w:rsidRDefault="00D047CC" w:rsidP="00D047CC">
      <w:pPr>
        <w:shd w:val="clear" w:color="auto" w:fill="FFFFFF"/>
        <w:jc w:val="both"/>
        <w:rPr>
          <w:rStyle w:val="b"/>
          <w:rFonts w:asciiTheme="minorHAnsi" w:hAnsiTheme="minorHAnsi" w:cs="Times New Roman"/>
          <w:bCs/>
          <w:sz w:val="24"/>
          <w:szCs w:val="24"/>
        </w:rPr>
      </w:pPr>
    </w:p>
    <w:p w14:paraId="3EE95DE7" w14:textId="77777777" w:rsidR="00D91827" w:rsidRPr="00CB34BD" w:rsidRDefault="00793D6C" w:rsidP="00D91827">
      <w:pPr>
        <w:pStyle w:val="a7"/>
        <w:jc w:val="both"/>
        <w:rPr>
          <w:rFonts w:asciiTheme="minorHAnsi" w:hAnsiTheme="minorHAnsi" w:cs="Times New Roman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14:paraId="19C44063" w14:textId="68188DBD" w:rsidR="00D91827" w:rsidRPr="00CB34BD" w:rsidRDefault="00D91827" w:rsidP="00D91827">
      <w:pPr>
        <w:shd w:val="clear" w:color="auto" w:fill="FFFFFF"/>
        <w:jc w:val="both"/>
        <w:rPr>
          <w:rStyle w:val="b"/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1059E8D1" w14:textId="0CF2656C" w:rsidR="00356BA3" w:rsidRPr="00D047CC" w:rsidRDefault="00356BA3" w:rsidP="00D047CC">
      <w:pPr>
        <w:shd w:val="clear" w:color="auto" w:fill="FFFFFF"/>
        <w:jc w:val="both"/>
        <w:rPr>
          <w:rFonts w:asciiTheme="minorHAnsi" w:hAnsiTheme="minorHAnsi" w:cs="Times New Roman"/>
          <w:sz w:val="24"/>
          <w:szCs w:val="24"/>
        </w:rPr>
      </w:pPr>
    </w:p>
    <w:p w14:paraId="6445477B" w14:textId="77777777" w:rsidR="0010481A" w:rsidRPr="00D047CC" w:rsidRDefault="00356BA3" w:rsidP="00D047CC">
      <w:pPr>
        <w:shd w:val="clear" w:color="auto" w:fill="FFFFFF"/>
        <w:ind w:firstLine="567"/>
        <w:jc w:val="both"/>
        <w:rPr>
          <w:rStyle w:val="b"/>
          <w:rFonts w:asciiTheme="minorHAnsi" w:hAnsiTheme="minorHAnsi" w:cs="Times New Roman"/>
          <w:bCs/>
          <w:sz w:val="24"/>
          <w:szCs w:val="24"/>
        </w:rPr>
      </w:pPr>
      <w:r w:rsidRPr="00D047CC">
        <w:rPr>
          <w:rStyle w:val="b"/>
          <w:rFonts w:asciiTheme="minorHAnsi" w:hAnsiTheme="minorHAnsi" w:cs="Times New Roman"/>
          <w:bCs/>
          <w:sz w:val="24"/>
          <w:szCs w:val="24"/>
        </w:rPr>
        <w:t xml:space="preserve"> </w:t>
      </w:r>
    </w:p>
    <w:p w14:paraId="50D4244E" w14:textId="77777777" w:rsidR="00C72AD3" w:rsidRPr="00D047CC" w:rsidRDefault="00C72AD3" w:rsidP="00D047CC">
      <w:pPr>
        <w:shd w:val="clear" w:color="auto" w:fill="FFFFFF"/>
        <w:ind w:firstLine="567"/>
        <w:jc w:val="both"/>
        <w:rPr>
          <w:rStyle w:val="b"/>
          <w:rFonts w:asciiTheme="minorHAnsi" w:hAnsiTheme="minorHAnsi" w:cs="Times New Roman"/>
          <w:bCs/>
          <w:sz w:val="24"/>
          <w:szCs w:val="24"/>
        </w:rPr>
      </w:pPr>
    </w:p>
    <w:sectPr w:rsidR="00C72AD3" w:rsidRPr="00D047CC" w:rsidSect="00B640B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2873"/>
    <w:rsid w:val="0010481A"/>
    <w:rsid w:val="0011665D"/>
    <w:rsid w:val="0013167F"/>
    <w:rsid w:val="00131F57"/>
    <w:rsid w:val="00147C07"/>
    <w:rsid w:val="00165CE6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724A1"/>
    <w:rsid w:val="0038006D"/>
    <w:rsid w:val="003907E6"/>
    <w:rsid w:val="003962D3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14ECC"/>
    <w:rsid w:val="00422799"/>
    <w:rsid w:val="00424F0D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3C1D"/>
    <w:rsid w:val="00574028"/>
    <w:rsid w:val="005820E3"/>
    <w:rsid w:val="00584F70"/>
    <w:rsid w:val="0059446E"/>
    <w:rsid w:val="00595798"/>
    <w:rsid w:val="005B312E"/>
    <w:rsid w:val="005E6185"/>
    <w:rsid w:val="005F5FCA"/>
    <w:rsid w:val="00600103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3D6C"/>
    <w:rsid w:val="00797E4C"/>
    <w:rsid w:val="007A0A32"/>
    <w:rsid w:val="007B1492"/>
    <w:rsid w:val="007B3BA0"/>
    <w:rsid w:val="007C1890"/>
    <w:rsid w:val="007C2AD1"/>
    <w:rsid w:val="007C4F70"/>
    <w:rsid w:val="007D5407"/>
    <w:rsid w:val="007E2BB2"/>
    <w:rsid w:val="007E50DA"/>
    <w:rsid w:val="008046FD"/>
    <w:rsid w:val="008132EA"/>
    <w:rsid w:val="00814297"/>
    <w:rsid w:val="008201D2"/>
    <w:rsid w:val="00865070"/>
    <w:rsid w:val="008660FE"/>
    <w:rsid w:val="00874035"/>
    <w:rsid w:val="00874B96"/>
    <w:rsid w:val="00874C62"/>
    <w:rsid w:val="00880867"/>
    <w:rsid w:val="00886A25"/>
    <w:rsid w:val="008A3F4D"/>
    <w:rsid w:val="008C23FC"/>
    <w:rsid w:val="008D1D99"/>
    <w:rsid w:val="008D409D"/>
    <w:rsid w:val="008E3DF0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578A"/>
    <w:rsid w:val="0098020B"/>
    <w:rsid w:val="00985E93"/>
    <w:rsid w:val="009903CF"/>
    <w:rsid w:val="00990617"/>
    <w:rsid w:val="009A643B"/>
    <w:rsid w:val="009B2870"/>
    <w:rsid w:val="009B79FF"/>
    <w:rsid w:val="009C2265"/>
    <w:rsid w:val="009C4D0D"/>
    <w:rsid w:val="009D1911"/>
    <w:rsid w:val="009D35BE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640BC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06BFC"/>
    <w:rsid w:val="00C20983"/>
    <w:rsid w:val="00C3508A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34BD"/>
    <w:rsid w:val="00CB4548"/>
    <w:rsid w:val="00CD0557"/>
    <w:rsid w:val="00CD496C"/>
    <w:rsid w:val="00CE1F8D"/>
    <w:rsid w:val="00CF7C7B"/>
    <w:rsid w:val="00CF7F88"/>
    <w:rsid w:val="00D01206"/>
    <w:rsid w:val="00D045E3"/>
    <w:rsid w:val="00D047CC"/>
    <w:rsid w:val="00D11EB9"/>
    <w:rsid w:val="00D20935"/>
    <w:rsid w:val="00D24BC2"/>
    <w:rsid w:val="00D3558F"/>
    <w:rsid w:val="00D54056"/>
    <w:rsid w:val="00D91827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DF73B8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92B2C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6468"/>
    <w:rsid w:val="00F25EAD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2EE8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707/3d0cac60971a511280cbba229d9b6329c07731f7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01</cp:lastModifiedBy>
  <cp:revision>2</cp:revision>
  <dcterms:created xsi:type="dcterms:W3CDTF">2019-11-07T09:51:00Z</dcterms:created>
  <dcterms:modified xsi:type="dcterms:W3CDTF">2019-11-07T09:51:00Z</dcterms:modified>
</cp:coreProperties>
</file>