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B3" w:rsidRPr="00B91CFE" w:rsidRDefault="00D219FD" w:rsidP="00432505">
      <w:pPr>
        <w:ind w:right="-143"/>
        <w:rPr>
          <w:rFonts w:cs="SegoeUI"/>
          <w:b/>
          <w:color w:val="000000" w:themeColor="text1"/>
          <w:sz w:val="28"/>
          <w:szCs w:val="28"/>
        </w:rPr>
      </w:pPr>
      <w:bookmarkStart w:id="0" w:name="_GoBack"/>
      <w:r w:rsidRPr="00B91CFE">
        <w:rPr>
          <w:rFonts w:cs="SegoeUI"/>
          <w:b/>
          <w:color w:val="000000" w:themeColor="text1"/>
          <w:sz w:val="28"/>
          <w:szCs w:val="28"/>
        </w:rPr>
        <w:t xml:space="preserve">В Ведомственный центр телефонного обслуживания </w:t>
      </w:r>
      <w:proofErr w:type="spellStart"/>
      <w:r w:rsidRPr="00B91CFE">
        <w:rPr>
          <w:rFonts w:cs="SegoeUI"/>
          <w:b/>
          <w:color w:val="000000" w:themeColor="text1"/>
          <w:sz w:val="28"/>
          <w:szCs w:val="28"/>
        </w:rPr>
        <w:t>Росреестра</w:t>
      </w:r>
      <w:proofErr w:type="spellEnd"/>
      <w:r w:rsidRPr="00B91CFE">
        <w:rPr>
          <w:rFonts w:cs="SegoeUI"/>
          <w:b/>
          <w:color w:val="000000" w:themeColor="text1"/>
          <w:sz w:val="28"/>
          <w:szCs w:val="28"/>
        </w:rPr>
        <w:t xml:space="preserve"> в прошлом году обратилось более 5,5 миллионов россиян</w:t>
      </w:r>
    </w:p>
    <w:bookmarkEnd w:id="0"/>
    <w:p w:rsidR="00D219FD" w:rsidRPr="00B91CFE" w:rsidRDefault="00D219FD" w:rsidP="0024670A">
      <w:pPr>
        <w:pStyle w:val="1"/>
        <w:spacing w:before="0" w:after="360"/>
        <w:ind w:right="-143"/>
        <w:jc w:val="both"/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</w:pPr>
      <w:r w:rsidRPr="00B91CFE">
        <w:rPr>
          <w:rFonts w:asciiTheme="minorHAnsi" w:eastAsia="Times New Roman" w:hAnsiTheme="minorHAnsi" w:cs="Times New Roman"/>
          <w:b w:val="0"/>
          <w:bCs w:val="0"/>
          <w:color w:val="000000" w:themeColor="text1"/>
          <w:sz w:val="24"/>
          <w:szCs w:val="24"/>
          <w:lang w:eastAsia="ru-RU"/>
        </w:rPr>
        <w:br/>
      </w:r>
      <w:r w:rsidRP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 xml:space="preserve">В 2020 году в Ведомственный центр телефонного обслуживания </w:t>
      </w:r>
      <w:proofErr w:type="spellStart"/>
      <w:r w:rsidRP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 xml:space="preserve"> и Федеральной кадастровой палаты (ВЦТО) поступило 5 529 485 телефонных и электронных обращений, что на 33% больше, чем в 2019 году. Чаще всего </w:t>
      </w:r>
      <w:r w:rsid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>россияне</w:t>
      </w:r>
      <w:r w:rsidRP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 xml:space="preserve"> обращались за консультациями по</w:t>
      </w:r>
      <w:r w:rsid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 xml:space="preserve"> оказанию</w:t>
      </w:r>
      <w:r w:rsidRP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B91CFE">
        <w:rPr>
          <w:rFonts w:asciiTheme="minorHAnsi" w:eastAsia="Times New Roman" w:hAnsiTheme="minorHAnsi" w:cs="Times New Roman"/>
          <w:bCs w:val="0"/>
          <w:color w:val="000000" w:themeColor="text1"/>
          <w:sz w:val="24"/>
          <w:szCs w:val="24"/>
          <w:lang w:eastAsia="ru-RU"/>
        </w:rPr>
        <w:t xml:space="preserve"> в сфере недвижимости – 41%, а также для уточнения статуса готовности документов – 32%.</w:t>
      </w:r>
    </w:p>
    <w:p w:rsidR="00D219FD" w:rsidRPr="00B91CFE" w:rsidRDefault="00D219FD" w:rsidP="0024670A">
      <w:pPr>
        <w:pStyle w:val="1"/>
        <w:spacing w:before="0" w:after="360"/>
        <w:ind w:right="-143"/>
        <w:jc w:val="both"/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</w:pP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Ежедневно специалисты ВЦТО </w:t>
      </w:r>
      <w:proofErr w:type="spellStart"/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и Кадастровой палаты </w:t>
      </w:r>
      <w:r w:rsidR="001B59B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разъясняют 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граждан</w:t>
      </w:r>
      <w:r w:rsidR="001B59B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ам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, как получить государственные услуги </w:t>
      </w:r>
      <w:r w:rsid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ведомства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, заказать выписки из Единого государственного реестра недвижимости,</w:t>
      </w:r>
      <w:r w:rsidR="00C27587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узнать текущий статус</w:t>
      </w:r>
      <w:r w:rsid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рассмотрения запроса на предоставление услуги</w:t>
      </w:r>
      <w:r w:rsidR="00C27587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. А также </w:t>
      </w:r>
      <w:r w:rsidR="001B59B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дают консультации о </w:t>
      </w:r>
      <w:r w:rsidR="00C27587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сроках, 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стоимости</w:t>
      </w:r>
      <w:r w:rsidR="001B59B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, составе документов для</w:t>
      </w:r>
      <w:r w:rsidR="00C27587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предоставления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государственных услуг, об адресах и часах работы офисов Кадастровой палаты</w:t>
      </w:r>
      <w:r w:rsidR="00C27587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для приёма посетителей</w:t>
      </w:r>
      <w:r w:rsidR="00131F01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, о возможности </w:t>
      </w:r>
      <w:r w:rsidR="001B59B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предварительной записи на</w:t>
      </w:r>
      <w:r w:rsidR="00131F01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выездно</w:t>
      </w:r>
      <w:r w:rsidR="001B59B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е</w:t>
      </w:r>
      <w:r w:rsidR="00131F01"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 обслуживани</w:t>
      </w:r>
      <w:r w:rsidR="001B59BC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>е сотрудниками учреждения во всех регионах нашей страны</w:t>
      </w:r>
      <w:r w:rsidRPr="00B91CFE">
        <w:rPr>
          <w:rFonts w:asciiTheme="minorHAnsi" w:eastAsia="Times New Roman" w:hAnsiTheme="minorHAnsi" w:cs="Times New Roman"/>
          <w:b w:val="0"/>
          <w:color w:val="000000" w:themeColor="text1"/>
          <w:sz w:val="24"/>
          <w:szCs w:val="24"/>
          <w:lang w:eastAsia="ru-RU"/>
        </w:rPr>
        <w:t xml:space="preserve">. </w:t>
      </w:r>
    </w:p>
    <w:p w:rsidR="00D219FD" w:rsidRPr="00B91CFE" w:rsidRDefault="00C27587" w:rsidP="0024670A">
      <w:pPr>
        <w:spacing w:after="360"/>
        <w:ind w:right="-143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Эксперты отмечают, что р</w:t>
      </w:r>
      <w:r w:rsidR="00D219FD"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ост </w:t>
      </w:r>
      <w:r w:rsidR="001B59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интереса россиян к получению правовой помощи посредством </w:t>
      </w:r>
      <w:r w:rsidR="00D219FD"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ВЦТО в 2020 году </w:t>
      </w:r>
      <w:r w:rsidR="001B59B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обусловлен повышением спроса на </w:t>
      </w:r>
      <w:r w:rsidR="00D219FD"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электронные </w:t>
      </w:r>
      <w:hyperlink r:id="rId6" w:history="1">
        <w:r w:rsidR="00D219FD" w:rsidRPr="00B91CFE">
          <w:rPr>
            <w:rStyle w:val="a4"/>
            <w:rFonts w:eastAsia="Times New Roman" w:cs="Times New Roman"/>
            <w:color w:val="000000" w:themeColor="text1"/>
            <w:sz w:val="24"/>
            <w:szCs w:val="24"/>
            <w:lang w:eastAsia="ru-RU"/>
          </w:rPr>
          <w:t>услуги</w:t>
        </w:r>
      </w:hyperlink>
      <w:r w:rsidR="00D219FD"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ведомств</w:t>
      </w:r>
      <w:r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D219FD"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связи с эпидемиологической обстановкой.</w:t>
      </w:r>
      <w:r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прошлом году</w:t>
      </w:r>
      <w:r w:rsidR="00D219FD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доля таких обращений составила 13%. </w:t>
      </w:r>
      <w:r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К</w:t>
      </w:r>
      <w:r w:rsidR="00D219FD"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роме того</w:t>
      </w:r>
      <w:r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на увеличение </w:t>
      </w:r>
      <w:r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потока </w:t>
      </w:r>
      <w:r w:rsidR="00131F01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телефонных звонков</w:t>
      </w:r>
      <w:r w:rsid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, принятых от</w:t>
      </w:r>
      <w:r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заявителей</w:t>
      </w:r>
      <w:r w:rsid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повлияло </w:t>
      </w:r>
      <w:r w:rsid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введение </w:t>
      </w:r>
      <w:r w:rsidR="00131F01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Правительством РФ </w:t>
      </w:r>
      <w:r w:rsidR="00D219FD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мер </w:t>
      </w:r>
      <w:r w:rsidR="00131F01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для стимулирования экономики: к специалистам ВЦТО поступило от граждан множество вопросов, связанных с </w:t>
      </w:r>
      <w:r w:rsidR="00D219FD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государственн</w:t>
      </w:r>
      <w:r w:rsidR="00131F01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ой программой</w:t>
      </w:r>
      <w:r w:rsidR="00D219FD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поддержки</w:t>
      </w:r>
      <w:r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малого бизнеса,</w:t>
      </w:r>
      <w:r w:rsidR="00131F01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219FD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предоставление</w:t>
      </w:r>
      <w:r w:rsidR="00131F01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D219FD" w:rsidRPr="00B91CFE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ипотечных кредитов на выгодных условиях</w:t>
      </w:r>
      <w:r w:rsidR="00D219FD" w:rsidRPr="00B91C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1F01" w:rsidRPr="00B91CFE" w:rsidRDefault="00131F01" w:rsidP="0024670A">
      <w:pPr>
        <w:pStyle w:val="1"/>
        <w:spacing w:before="0" w:after="360"/>
        <w:ind w:right="-143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</w:pPr>
      <w:r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Напомним, что </w:t>
      </w:r>
      <w:r w:rsidR="00B91CFE"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каждый житель нашей страны вправе </w:t>
      </w:r>
      <w:r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задать </w:t>
      </w:r>
      <w:r w:rsidR="00B91CFE"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интересующий</w:t>
      </w:r>
      <w:r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 вопрос специалисту ВЦТО по бесплатному номеру 8 (800) 100-34-34, который </w:t>
      </w:r>
      <w:r w:rsidR="00B91CFE"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 xml:space="preserve">действует в </w:t>
      </w:r>
      <w:r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круглосуточно</w:t>
      </w:r>
      <w:r w:rsidR="00B91CFE"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м режиме</w:t>
      </w:r>
      <w:r w:rsidRPr="00B91CF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ru-RU"/>
        </w:rPr>
        <w:t>.</w:t>
      </w:r>
    </w:p>
    <w:p w:rsidR="00D219FD" w:rsidRPr="00B91CFE" w:rsidRDefault="00D219FD" w:rsidP="0024670A">
      <w:pPr>
        <w:spacing w:after="360"/>
        <w:ind w:right="-143"/>
        <w:rPr>
          <w:rFonts w:ascii="Montserrat" w:eastAsia="Times New Roman" w:hAnsi="Montserrat" w:cs="Times New Roman"/>
          <w:color w:val="000000" w:themeColor="text1"/>
          <w:sz w:val="24"/>
          <w:szCs w:val="24"/>
          <w:lang w:eastAsia="ru-RU"/>
        </w:rPr>
      </w:pPr>
    </w:p>
    <w:p w:rsidR="00D219FD" w:rsidRDefault="00D219FD" w:rsidP="0024670A">
      <w:pPr>
        <w:ind w:right="-143"/>
        <w:rPr>
          <w:rFonts w:eastAsia="Times New Roman" w:cs="Arial"/>
          <w:sz w:val="24"/>
          <w:szCs w:val="24"/>
          <w:lang w:eastAsia="ru-RU"/>
        </w:rPr>
      </w:pPr>
    </w:p>
    <w:p w:rsidR="00D219FD" w:rsidRDefault="00D219FD" w:rsidP="0024670A">
      <w:pPr>
        <w:ind w:right="-143"/>
        <w:rPr>
          <w:rFonts w:cs="Arial"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219FD" w:rsidRDefault="00D219FD" w:rsidP="0024670A">
      <w:pPr>
        <w:ind w:right="-143"/>
        <w:rPr>
          <w:color w:val="000000" w:themeColor="text1"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D219FD" w:rsidRDefault="00D219FD" w:rsidP="0024670A">
      <w:pPr>
        <w:ind w:right="-143"/>
        <w:rPr>
          <w:bCs/>
          <w:color w:val="000000" w:themeColor="text1"/>
          <w:sz w:val="24"/>
          <w:szCs w:val="24"/>
        </w:rPr>
      </w:pPr>
    </w:p>
    <w:p w:rsidR="00D219FD" w:rsidRDefault="00D219FD" w:rsidP="0024670A">
      <w:pPr>
        <w:ind w:right="-143"/>
        <w:rPr>
          <w:rFonts w:eastAsia="DejaVu Sans" w:cs="Arial"/>
          <w:color w:val="000000" w:themeColor="text1"/>
          <w:kern w:val="2"/>
          <w:sz w:val="24"/>
          <w:szCs w:val="24"/>
          <w:shd w:val="clear" w:color="auto" w:fill="FFFFFF"/>
          <w:lang w:eastAsia="hi-IN" w:bidi="hi-IN"/>
        </w:rPr>
      </w:pPr>
    </w:p>
    <w:p w:rsidR="00D219FD" w:rsidRDefault="00D219FD" w:rsidP="0024670A">
      <w:pPr>
        <w:ind w:right="-143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219FD" w:rsidRDefault="00D219FD" w:rsidP="0024670A">
      <w:pPr>
        <w:ind w:right="-143"/>
        <w:rPr>
          <w:rFonts w:cs="Arial"/>
          <w:b/>
          <w:u w:val="single"/>
          <w:bdr w:val="none" w:sz="0" w:space="0" w:color="auto" w:frame="1"/>
        </w:rPr>
      </w:pPr>
    </w:p>
    <w:p w:rsidR="00D219FD" w:rsidRDefault="00D219FD" w:rsidP="0024670A">
      <w:pPr>
        <w:shd w:val="clear" w:color="auto" w:fill="FFFFFF"/>
        <w:ind w:left="-567" w:right="-143"/>
        <w:jc w:val="both"/>
        <w:rPr>
          <w:rFonts w:ascii="Calibri" w:hAnsi="Calibri"/>
          <w:color w:val="000000"/>
        </w:rPr>
      </w:pPr>
      <w: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19FD" w:rsidRDefault="00D219FD" w:rsidP="0024670A">
      <w:pPr>
        <w:shd w:val="clear" w:color="auto" w:fill="FFFFFF"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C57BB3" w:rsidRDefault="00C57BB3" w:rsidP="0024670A">
      <w:pPr>
        <w:tabs>
          <w:tab w:val="left" w:pos="7275"/>
        </w:tabs>
        <w:ind w:right="-143"/>
        <w:rPr>
          <w:rFonts w:ascii="SegoeUI" w:hAnsi="SegoeUI" w:cs="SegoeUI"/>
          <w:color w:val="444444"/>
          <w:sz w:val="20"/>
          <w:szCs w:val="20"/>
        </w:rPr>
      </w:pPr>
    </w:p>
    <w:p w:rsidR="00C57BB3" w:rsidRDefault="00C57BB3" w:rsidP="0024670A">
      <w:pPr>
        <w:tabs>
          <w:tab w:val="left" w:pos="7275"/>
        </w:tabs>
        <w:ind w:right="-143"/>
        <w:rPr>
          <w:rFonts w:ascii="SegoeUI" w:hAnsi="SegoeUI" w:cs="SegoeUI"/>
          <w:color w:val="444444"/>
          <w:sz w:val="20"/>
          <w:szCs w:val="20"/>
        </w:rPr>
      </w:pPr>
    </w:p>
    <w:p w:rsidR="00C57BB3" w:rsidRDefault="00C57BB3" w:rsidP="0024670A">
      <w:pPr>
        <w:tabs>
          <w:tab w:val="left" w:pos="7275"/>
        </w:tabs>
        <w:ind w:right="-143"/>
        <w:rPr>
          <w:rFonts w:ascii="SegoeUI" w:hAnsi="SegoeUI" w:cs="SegoeUI"/>
          <w:color w:val="444444"/>
          <w:sz w:val="20"/>
          <w:szCs w:val="20"/>
        </w:rPr>
      </w:pPr>
    </w:p>
    <w:p w:rsidR="00C57BB3" w:rsidRDefault="00C57BB3" w:rsidP="0024670A">
      <w:pPr>
        <w:tabs>
          <w:tab w:val="left" w:pos="7275"/>
        </w:tabs>
        <w:ind w:right="-143"/>
        <w:rPr>
          <w:rFonts w:ascii="SegoeUI" w:hAnsi="SegoeUI" w:cs="SegoeUI"/>
          <w:color w:val="444444"/>
          <w:sz w:val="20"/>
          <w:szCs w:val="20"/>
        </w:rPr>
      </w:pPr>
    </w:p>
    <w:p w:rsidR="00C57BB3" w:rsidRDefault="00C57BB3" w:rsidP="0024670A">
      <w:pPr>
        <w:tabs>
          <w:tab w:val="left" w:pos="7275"/>
        </w:tabs>
        <w:ind w:right="-143"/>
        <w:rPr>
          <w:rFonts w:ascii="SegoeUI" w:hAnsi="SegoeUI" w:cs="SegoeUI"/>
          <w:color w:val="444444"/>
          <w:sz w:val="20"/>
          <w:szCs w:val="20"/>
        </w:rPr>
      </w:pPr>
    </w:p>
    <w:p w:rsidR="000A1A59" w:rsidRPr="00C57BB3" w:rsidRDefault="00C57BB3" w:rsidP="0024670A">
      <w:pPr>
        <w:tabs>
          <w:tab w:val="left" w:pos="7275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A1A59" w:rsidRPr="00C57BB3" w:rsidSect="00C57BB3">
      <w:pgSz w:w="11906" w:h="16838"/>
      <w:pgMar w:top="851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1F01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59BC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4670A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2505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1CFE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27587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219FD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2021-02-09T05:25:00Z</dcterms:created>
  <dcterms:modified xsi:type="dcterms:W3CDTF">2021-02-09T05:25:00Z</dcterms:modified>
</cp:coreProperties>
</file>